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C4" w:rsidRDefault="000C2AC4" w:rsidP="000C2AC4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ТОРЖОКСКОГО РАЙОНА</w:t>
      </w:r>
    </w:p>
    <w:p w:rsidR="000C2AC4" w:rsidRDefault="000C2AC4" w:rsidP="000C2AC4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0C2AC4" w:rsidRPr="00C93E51" w:rsidTr="005D2E33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259"/>
              <w:gridCol w:w="1109"/>
              <w:gridCol w:w="1027"/>
              <w:gridCol w:w="1389"/>
              <w:gridCol w:w="439"/>
              <w:gridCol w:w="588"/>
              <w:gridCol w:w="589"/>
              <w:gridCol w:w="1030"/>
              <w:gridCol w:w="1027"/>
            </w:tblGrid>
            <w:tr w:rsidR="000C2AC4" w:rsidRPr="00C93E51" w:rsidTr="005D2E33"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2AC4" w:rsidRPr="00C93E51" w:rsidRDefault="000C2AC4" w:rsidP="005A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 июня 202</w:t>
                  </w:r>
                  <w:r w:rsidR="005A6FD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36" w:type="dxa"/>
                  <w:gridSpan w:val="2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gridSpan w:val="3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gridSpan w:val="3"/>
                  <w:shd w:val="clear" w:color="auto" w:fill="auto"/>
                </w:tcPr>
                <w:p w:rsidR="000C2AC4" w:rsidRPr="00C93E51" w:rsidRDefault="000C2AC4" w:rsidP="005A6FD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Pr="000C2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</w:t>
                  </w:r>
                  <w:r w:rsidR="005A6FD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72</w:t>
                  </w:r>
                  <w:r w:rsidRPr="000C2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/</w:t>
                  </w:r>
                  <w:r w:rsidR="005A6FD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361</w:t>
                  </w:r>
                  <w:r w:rsidRPr="000C2AC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-5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</w:p>
              </w:tc>
            </w:tr>
            <w:tr w:rsidR="000C2AC4" w:rsidRPr="00C93E51" w:rsidTr="000C2AC4">
              <w:trPr>
                <w:gridAfter w:val="1"/>
                <w:wAfter w:w="1027" w:type="dxa"/>
              </w:trPr>
              <w:tc>
                <w:tcPr>
                  <w:tcW w:w="22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1109" w:type="dxa"/>
                </w:tcPr>
                <w:p w:rsidR="000C2AC4" w:rsidRPr="00C93E51" w:rsidRDefault="000C2AC4" w:rsidP="005D2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2AC4" w:rsidRPr="00C93E51" w:rsidRDefault="000C2AC4" w:rsidP="000C2A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39" w:type="dxa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gridSpan w:val="2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2AC4" w:rsidRPr="00C93E51" w:rsidTr="000C2AC4">
              <w:trPr>
                <w:gridAfter w:val="1"/>
                <w:wAfter w:w="1027" w:type="dxa"/>
              </w:trPr>
              <w:tc>
                <w:tcPr>
                  <w:tcW w:w="2259" w:type="dxa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</w:tcPr>
                <w:p w:rsidR="000C2AC4" w:rsidRPr="00C93E51" w:rsidRDefault="000C2AC4" w:rsidP="005D2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0C2AC4" w:rsidRPr="00C93E51" w:rsidRDefault="000C2AC4" w:rsidP="000C2A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2646" w:type="dxa"/>
                  <w:gridSpan w:val="4"/>
                  <w:shd w:val="clear" w:color="auto" w:fill="auto"/>
                </w:tcPr>
                <w:p w:rsidR="000C2AC4" w:rsidRPr="00C93E51" w:rsidRDefault="000C2AC4" w:rsidP="005D2E3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2AC4" w:rsidRPr="00246F32" w:rsidRDefault="000C2AC4" w:rsidP="005A6FD7">
            <w:pPr>
              <w:spacing w:before="240" w:after="0" w:line="240" w:lineRule="auto"/>
              <w:ind w:right="-2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0C2A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Большесвятцовское</w:t>
            </w:r>
            <w:proofErr w:type="spellEnd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сельское поселение, </w:t>
            </w:r>
            <w:proofErr w:type="spellStart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Борисцевское</w:t>
            </w:r>
            <w:proofErr w:type="spellEnd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Рудниковское</w:t>
            </w:r>
            <w:proofErr w:type="spellEnd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Марьинское</w:t>
            </w:r>
            <w:proofErr w:type="spellEnd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Масловское сельское поселение, </w:t>
            </w:r>
            <w:proofErr w:type="spellStart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Страшевичское</w:t>
            </w:r>
            <w:proofErr w:type="spellEnd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 </w:t>
            </w:r>
            <w:proofErr w:type="spellStart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Сукромленское</w:t>
            </w:r>
            <w:proofErr w:type="spellEnd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поселение, </w:t>
            </w:r>
            <w:proofErr w:type="spellStart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Тверецкое</w:t>
            </w:r>
            <w:proofErr w:type="spellEnd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    </w:t>
            </w:r>
            <w:proofErr w:type="spellStart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Торжокского</w:t>
            </w:r>
            <w:proofErr w:type="spellEnd"/>
            <w:r w:rsidR="005A6FD7" w:rsidRPr="005A6F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муниципального района Тверской области пятого созыва 10 сентября 2023 года</w:t>
            </w:r>
          </w:p>
        </w:tc>
      </w:tr>
      <w:tr w:rsidR="000C2AC4" w:rsidRPr="00C93E51" w:rsidTr="005D2E33">
        <w:trPr>
          <w:trHeight w:val="100"/>
        </w:trPr>
        <w:tc>
          <w:tcPr>
            <w:tcW w:w="9781" w:type="dxa"/>
          </w:tcPr>
          <w:p w:rsidR="000C2AC4" w:rsidRPr="00C93E51" w:rsidRDefault="000C2AC4" w:rsidP="005D2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C2AC4" w:rsidRPr="005A6FD7" w:rsidRDefault="000C2AC4" w:rsidP="005A6FD7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/>
          <w:sz w:val="28"/>
          <w:szCs w:val="28"/>
        </w:rPr>
        <w:t xml:space="preserve">22, </w:t>
      </w:r>
      <w:r w:rsidRPr="007B6E82">
        <w:rPr>
          <w:rFonts w:ascii="Times New Roman" w:hAnsi="Times New Roman"/>
          <w:sz w:val="28"/>
          <w:szCs w:val="28"/>
        </w:rPr>
        <w:t>25, 53 Избирательного кодекса Тверской области от 07.04.2003 №20-ЗО</w:t>
      </w:r>
      <w:r w:rsidRPr="00254DE3">
        <w:rPr>
          <w:rFonts w:ascii="Times New Roman" w:hAnsi="Times New Roman"/>
          <w:i/>
          <w:sz w:val="20"/>
          <w:szCs w:val="20"/>
        </w:rPr>
        <w:br/>
      </w:r>
      <w:r w:rsidRPr="007B6E82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B6E82">
        <w:rPr>
          <w:rFonts w:ascii="Times New Roman" w:hAnsi="Times New Roman"/>
          <w:bCs/>
          <w:sz w:val="28"/>
          <w:szCs w:val="28"/>
        </w:rPr>
        <w:t xml:space="preserve"> </w:t>
      </w:r>
      <w:r w:rsidRPr="005A6FD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</w:p>
    <w:p w:rsidR="000C2AC4" w:rsidRPr="00246F32" w:rsidRDefault="000C2AC4" w:rsidP="000C2AC4">
      <w:pPr>
        <w:spacing w:after="0" w:line="360" w:lineRule="auto"/>
        <w:jc w:val="both"/>
        <w:rPr>
          <w:rFonts w:ascii="Times New Roman" w:hAnsi="Times New Roman"/>
          <w:spacing w:val="20"/>
          <w:sz w:val="26"/>
          <w:szCs w:val="26"/>
        </w:rPr>
      </w:pP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0C2AC4" w:rsidRDefault="000C2AC4" w:rsidP="005A6FD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C2AC4">
        <w:rPr>
          <w:rFonts w:ascii="Times New Roman" w:hAnsi="Times New Roman"/>
          <w:sz w:val="28"/>
          <w:szCs w:val="28"/>
        </w:rPr>
        <w:t>и участковых избирательных комиссий №№</w:t>
      </w:r>
      <w:r w:rsidR="005A6FD7">
        <w:rPr>
          <w:rFonts w:ascii="Times New Roman" w:hAnsi="Times New Roman"/>
          <w:sz w:val="28"/>
          <w:szCs w:val="28"/>
        </w:rPr>
        <w:t xml:space="preserve"> 962, 963, 964, 971, 972, 973, 974, 980, 981, 982, 983, 984</w:t>
      </w:r>
      <w:r w:rsidRPr="000C2AC4">
        <w:rPr>
          <w:rFonts w:ascii="Times New Roman" w:hAnsi="Times New Roman"/>
          <w:sz w:val="28"/>
          <w:szCs w:val="28"/>
        </w:rPr>
        <w:t xml:space="preserve"> с правом решающего голоса в период подготовки и проведения выборов</w:t>
      </w:r>
      <w:r w:rsidR="005A6FD7">
        <w:rPr>
          <w:rFonts w:ascii="Times New Roman" w:hAnsi="Times New Roman"/>
          <w:sz w:val="28"/>
          <w:szCs w:val="28"/>
        </w:rPr>
        <w:t xml:space="preserve"> </w:t>
      </w:r>
      <w:r w:rsidRPr="000C2AC4">
        <w:rPr>
          <w:rFonts w:ascii="Times New Roman" w:hAnsi="Times New Roman"/>
          <w:sz w:val="28"/>
          <w:szCs w:val="28"/>
        </w:rPr>
        <w:t xml:space="preserve">депутатов Советов депутатов муниципальных образований: </w:t>
      </w:r>
      <w:proofErr w:type="spellStart"/>
      <w:r w:rsidR="005A6FD7" w:rsidRPr="005A6FD7">
        <w:rPr>
          <w:rFonts w:ascii="Times New Roman" w:hAnsi="Times New Roman"/>
          <w:sz w:val="28"/>
          <w:szCs w:val="28"/>
        </w:rPr>
        <w:t>Большесвятцовское</w:t>
      </w:r>
      <w:proofErr w:type="spellEnd"/>
      <w:r w:rsidR="005A6FD7" w:rsidRPr="005A6FD7">
        <w:rPr>
          <w:rFonts w:ascii="Times New Roman" w:hAnsi="Times New Roman"/>
          <w:sz w:val="28"/>
          <w:szCs w:val="28"/>
        </w:rPr>
        <w:t xml:space="preserve">  сельское поселение, </w:t>
      </w:r>
      <w:proofErr w:type="spellStart"/>
      <w:r w:rsidR="005A6FD7" w:rsidRPr="005A6FD7">
        <w:rPr>
          <w:rFonts w:ascii="Times New Roman" w:hAnsi="Times New Roman"/>
          <w:sz w:val="28"/>
          <w:szCs w:val="28"/>
        </w:rPr>
        <w:t>Борисцевское</w:t>
      </w:r>
      <w:proofErr w:type="spellEnd"/>
      <w:r w:rsidR="005A6FD7" w:rsidRPr="005A6FD7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5A6FD7" w:rsidRPr="005A6FD7">
        <w:rPr>
          <w:rFonts w:ascii="Times New Roman" w:hAnsi="Times New Roman"/>
          <w:sz w:val="28"/>
          <w:szCs w:val="28"/>
        </w:rPr>
        <w:t>Рудниковское</w:t>
      </w:r>
      <w:proofErr w:type="spellEnd"/>
      <w:r w:rsidR="005A6FD7" w:rsidRPr="005A6FD7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5A6FD7" w:rsidRPr="005A6FD7">
        <w:rPr>
          <w:rFonts w:ascii="Times New Roman" w:hAnsi="Times New Roman"/>
          <w:sz w:val="28"/>
          <w:szCs w:val="28"/>
        </w:rPr>
        <w:t>Марьинское</w:t>
      </w:r>
      <w:proofErr w:type="spellEnd"/>
      <w:r w:rsidR="005A6FD7" w:rsidRPr="005A6FD7">
        <w:rPr>
          <w:rFonts w:ascii="Times New Roman" w:hAnsi="Times New Roman"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5A6FD7" w:rsidRPr="005A6FD7">
        <w:rPr>
          <w:rFonts w:ascii="Times New Roman" w:hAnsi="Times New Roman"/>
          <w:sz w:val="28"/>
          <w:szCs w:val="28"/>
        </w:rPr>
        <w:t>Страшевичское</w:t>
      </w:r>
      <w:proofErr w:type="spellEnd"/>
      <w:r w:rsidR="005A6FD7" w:rsidRPr="005A6FD7">
        <w:rPr>
          <w:rFonts w:ascii="Times New Roman" w:hAnsi="Times New Roman"/>
          <w:sz w:val="28"/>
          <w:szCs w:val="28"/>
        </w:rPr>
        <w:t xml:space="preserve"> сельское поселение,  </w:t>
      </w:r>
      <w:proofErr w:type="spellStart"/>
      <w:r w:rsidR="005A6FD7" w:rsidRPr="005A6FD7">
        <w:rPr>
          <w:rFonts w:ascii="Times New Roman" w:hAnsi="Times New Roman"/>
          <w:sz w:val="28"/>
          <w:szCs w:val="28"/>
        </w:rPr>
        <w:t>Сукромленское</w:t>
      </w:r>
      <w:proofErr w:type="spellEnd"/>
      <w:r w:rsidR="005A6FD7" w:rsidRPr="005A6FD7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5A6FD7" w:rsidRPr="005A6FD7">
        <w:rPr>
          <w:rFonts w:ascii="Times New Roman" w:hAnsi="Times New Roman"/>
          <w:sz w:val="28"/>
          <w:szCs w:val="28"/>
        </w:rPr>
        <w:t>Тверецкое</w:t>
      </w:r>
      <w:proofErr w:type="spellEnd"/>
      <w:r w:rsidR="005A6FD7" w:rsidRPr="005A6FD7">
        <w:rPr>
          <w:rFonts w:ascii="Times New Roman" w:hAnsi="Times New Roman"/>
          <w:sz w:val="28"/>
          <w:szCs w:val="28"/>
        </w:rPr>
        <w:t xml:space="preserve"> сельское поселение    </w:t>
      </w:r>
      <w:proofErr w:type="spellStart"/>
      <w:r w:rsidR="005A6FD7" w:rsidRPr="005A6FD7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5A6FD7" w:rsidRPr="005A6FD7">
        <w:rPr>
          <w:rFonts w:ascii="Times New Roman" w:hAnsi="Times New Roman"/>
          <w:sz w:val="28"/>
          <w:szCs w:val="28"/>
        </w:rPr>
        <w:t xml:space="preserve">  муниципального района Тверской области пятого созыва 10 сентября 2023 года</w:t>
      </w:r>
      <w:r w:rsidR="005A6FD7">
        <w:rPr>
          <w:rFonts w:ascii="Times New Roman" w:hAnsi="Times New Roman"/>
          <w:sz w:val="28"/>
          <w:szCs w:val="28"/>
        </w:rPr>
        <w:t xml:space="preserve"> </w:t>
      </w:r>
      <w:r w:rsidRPr="00254DE3">
        <w:rPr>
          <w:rFonts w:ascii="Times New Roman" w:hAnsi="Times New Roman"/>
          <w:sz w:val="28"/>
          <w:szCs w:val="28"/>
        </w:rPr>
        <w:t>производить в безналичной форме.</w:t>
      </w:r>
    </w:p>
    <w:p w:rsidR="000C2AC4" w:rsidRPr="000C2AC4" w:rsidRDefault="000C2AC4" w:rsidP="000C2AC4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C4">
        <w:rPr>
          <w:rFonts w:ascii="Times New Roman" w:hAnsi="Times New Roman"/>
          <w:sz w:val="28"/>
          <w:szCs w:val="28"/>
        </w:rPr>
        <w:lastRenderedPageBreak/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  -</w:t>
      </w:r>
      <w:proofErr w:type="gramEnd"/>
      <w:r>
        <w:rPr>
          <w:rFonts w:ascii="Times New Roman" w:hAnsi="Times New Roman"/>
          <w:sz w:val="28"/>
          <w:szCs w:val="28"/>
        </w:rPr>
        <w:t xml:space="preserve"> ежемесячно.</w:t>
      </w:r>
    </w:p>
    <w:p w:rsidR="000C2AC4" w:rsidRPr="00735ADA" w:rsidRDefault="000C2AC4" w:rsidP="005A6FD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EF7BD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№№</w:t>
      </w:r>
      <w:r w:rsidR="005A6FD7" w:rsidRPr="005A6FD7">
        <w:rPr>
          <w:rFonts w:ascii="Times New Roman" w:hAnsi="Times New Roman"/>
          <w:sz w:val="28"/>
          <w:szCs w:val="28"/>
        </w:rPr>
        <w:t xml:space="preserve">№№ 962, 963, 964, 971, 972, 973, 974, 980, 981, 982, 983, </w:t>
      </w:r>
      <w:proofErr w:type="gramStart"/>
      <w:r w:rsidR="005A6FD7" w:rsidRPr="005A6FD7">
        <w:rPr>
          <w:rFonts w:ascii="Times New Roman" w:hAnsi="Times New Roman"/>
          <w:sz w:val="28"/>
          <w:szCs w:val="28"/>
        </w:rPr>
        <w:t>984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E52379">
        <w:rPr>
          <w:rFonts w:ascii="Times New Roman" w:hAnsi="Times New Roman"/>
          <w:sz w:val="28"/>
          <w:szCs w:val="28"/>
        </w:rPr>
        <w:t xml:space="preserve"> 2</w:t>
      </w:r>
      <w:r w:rsidR="005A6F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сентябр</w:t>
      </w:r>
      <w:r w:rsidR="00E523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A6F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C2AC4" w:rsidRDefault="000C2AC4" w:rsidP="005A6FD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Pr="0024476A">
        <w:rPr>
          <w:rFonts w:ascii="Times New Roman" w:hAnsi="Times New Roman" w:cs="Times New Roman"/>
          <w:sz w:val="28"/>
          <w:szCs w:val="28"/>
        </w:rPr>
        <w:t>график</w:t>
      </w:r>
      <w:r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24476A">
        <w:rPr>
          <w:rFonts w:ascii="Times New Roman" w:hAnsi="Times New Roman"/>
          <w:sz w:val="28"/>
          <w:szCs w:val="28"/>
        </w:rPr>
        <w:t xml:space="preserve"> 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C4">
        <w:rPr>
          <w:rFonts w:ascii="Times New Roman" w:hAnsi="Times New Roman" w:cs="Times New Roman"/>
          <w:sz w:val="28"/>
          <w:szCs w:val="28"/>
        </w:rPr>
        <w:t xml:space="preserve">депутатов Советов депутатов муниципальных образований: </w:t>
      </w:r>
      <w:proofErr w:type="spellStart"/>
      <w:r w:rsidR="005A6FD7" w:rsidRPr="005A6FD7">
        <w:rPr>
          <w:rFonts w:ascii="Times New Roman" w:hAnsi="Times New Roman" w:cs="Times New Roman"/>
          <w:sz w:val="28"/>
          <w:szCs w:val="28"/>
        </w:rPr>
        <w:t>Большесвятцовское</w:t>
      </w:r>
      <w:proofErr w:type="spellEnd"/>
      <w:r w:rsidR="005A6FD7" w:rsidRPr="005A6FD7">
        <w:rPr>
          <w:rFonts w:ascii="Times New Roman" w:hAnsi="Times New Roman" w:cs="Times New Roman"/>
          <w:sz w:val="28"/>
          <w:szCs w:val="28"/>
        </w:rPr>
        <w:t xml:space="preserve">  сельское поселение, </w:t>
      </w:r>
      <w:proofErr w:type="spellStart"/>
      <w:r w:rsidR="005A6FD7" w:rsidRPr="005A6FD7">
        <w:rPr>
          <w:rFonts w:ascii="Times New Roman" w:hAnsi="Times New Roman" w:cs="Times New Roman"/>
          <w:sz w:val="28"/>
          <w:szCs w:val="28"/>
        </w:rPr>
        <w:t>Борисцевское</w:t>
      </w:r>
      <w:proofErr w:type="spellEnd"/>
      <w:r w:rsidR="005A6FD7" w:rsidRPr="005A6FD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5A6FD7" w:rsidRPr="005A6FD7">
        <w:rPr>
          <w:rFonts w:ascii="Times New Roman" w:hAnsi="Times New Roman" w:cs="Times New Roman"/>
          <w:sz w:val="28"/>
          <w:szCs w:val="28"/>
        </w:rPr>
        <w:t>Рудниковское</w:t>
      </w:r>
      <w:proofErr w:type="spellEnd"/>
      <w:r w:rsidR="005A6FD7" w:rsidRPr="005A6FD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5A6FD7" w:rsidRPr="005A6FD7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5A6FD7" w:rsidRPr="005A6FD7">
        <w:rPr>
          <w:rFonts w:ascii="Times New Roman" w:hAnsi="Times New Roman" w:cs="Times New Roman"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5A6FD7" w:rsidRPr="005A6FD7">
        <w:rPr>
          <w:rFonts w:ascii="Times New Roman" w:hAnsi="Times New Roman" w:cs="Times New Roman"/>
          <w:sz w:val="28"/>
          <w:szCs w:val="28"/>
        </w:rPr>
        <w:t>Страшевичское</w:t>
      </w:r>
      <w:proofErr w:type="spellEnd"/>
      <w:r w:rsidR="005A6FD7" w:rsidRPr="005A6FD7">
        <w:rPr>
          <w:rFonts w:ascii="Times New Roman" w:hAnsi="Times New Roman" w:cs="Times New Roman"/>
          <w:sz w:val="28"/>
          <w:szCs w:val="28"/>
        </w:rPr>
        <w:t xml:space="preserve"> сельское поселение,  </w:t>
      </w:r>
      <w:proofErr w:type="spellStart"/>
      <w:r w:rsidR="005A6FD7" w:rsidRPr="005A6FD7">
        <w:rPr>
          <w:rFonts w:ascii="Times New Roman" w:hAnsi="Times New Roman" w:cs="Times New Roman"/>
          <w:sz w:val="28"/>
          <w:szCs w:val="28"/>
        </w:rPr>
        <w:t>Сукромленское</w:t>
      </w:r>
      <w:proofErr w:type="spellEnd"/>
      <w:r w:rsidR="005A6FD7" w:rsidRPr="005A6FD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5A6FD7" w:rsidRPr="005A6FD7">
        <w:rPr>
          <w:rFonts w:ascii="Times New Roman" w:hAnsi="Times New Roman" w:cs="Times New Roman"/>
          <w:sz w:val="28"/>
          <w:szCs w:val="28"/>
        </w:rPr>
        <w:t>Тверецкое</w:t>
      </w:r>
      <w:proofErr w:type="spellEnd"/>
      <w:r w:rsidR="005A6FD7" w:rsidRPr="005A6FD7">
        <w:rPr>
          <w:rFonts w:ascii="Times New Roman" w:hAnsi="Times New Roman" w:cs="Times New Roman"/>
          <w:sz w:val="28"/>
          <w:szCs w:val="28"/>
        </w:rPr>
        <w:t xml:space="preserve"> сельское поселение    </w:t>
      </w:r>
      <w:proofErr w:type="spellStart"/>
      <w:r w:rsidR="005A6FD7" w:rsidRPr="005A6FD7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5A6FD7" w:rsidRPr="005A6FD7">
        <w:rPr>
          <w:rFonts w:ascii="Times New Roman" w:hAnsi="Times New Roman" w:cs="Times New Roman"/>
          <w:sz w:val="28"/>
          <w:szCs w:val="28"/>
        </w:rPr>
        <w:t xml:space="preserve">  муниципального района Тверской области пятого созыва 10 сентября 2023 года</w:t>
      </w:r>
      <w:r w:rsidRPr="0024476A">
        <w:rPr>
          <w:rFonts w:ascii="Times New Roman" w:hAnsi="Times New Roman"/>
          <w:i/>
          <w:sz w:val="20"/>
          <w:szCs w:val="20"/>
        </w:rPr>
        <w:br/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Pr="0024476A">
        <w:rPr>
          <w:rFonts w:ascii="Times New Roman" w:hAnsi="Times New Roman"/>
          <w:sz w:val="28"/>
          <w:szCs w:val="28"/>
        </w:rPr>
        <w:t xml:space="preserve">в срок </w:t>
      </w:r>
      <w:r w:rsidR="00E5237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сентября 202</w:t>
      </w:r>
      <w:r w:rsidR="005A6F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C2AC4" w:rsidRPr="00E76642" w:rsidRDefault="000C2AC4" w:rsidP="005A6FD7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комиссии №№</w:t>
      </w:r>
      <w:r w:rsidR="00E523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A6FD7" w:rsidRPr="005A6FD7">
        <w:rPr>
          <w:rFonts w:ascii="Times New Roman" w:hAnsi="Times New Roman" w:cs="Times New Roman"/>
          <w:color w:val="000000"/>
          <w:spacing w:val="-1"/>
          <w:sz w:val="28"/>
          <w:szCs w:val="28"/>
        </w:rPr>
        <w:t>№№ 962, 963, 964, 971, 972, 973, 974, 980, 981, 982, 983, 984</w:t>
      </w:r>
    </w:p>
    <w:p w:rsidR="000C2AC4" w:rsidRDefault="000C2AC4" w:rsidP="000C2AC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</w:t>
      </w:r>
      <w:r w:rsidRPr="00E76642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proofErr w:type="gramStart"/>
      <w:r w:rsidRPr="00E7664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2AC4" w:rsidRPr="00E76642" w:rsidRDefault="000C2AC4" w:rsidP="000C2AC4">
      <w:pPr>
        <w:pStyle w:val="a3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</w:p>
    <w:p w:rsidR="000C2AC4" w:rsidRPr="00E76642" w:rsidRDefault="000C2AC4" w:rsidP="000C2AC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>Председатель территориальной</w:t>
      </w:r>
    </w:p>
    <w:p w:rsidR="000C2AC4" w:rsidRPr="000C2AC4" w:rsidRDefault="000C2AC4" w:rsidP="000C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__________        </w:t>
      </w:r>
      <w:r w:rsidRPr="000C2AC4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:rsidR="000C2AC4" w:rsidRPr="00C03029" w:rsidRDefault="000C2AC4" w:rsidP="000C2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proofErr w:type="gramStart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:rsidR="000C2AC4" w:rsidRPr="00E76642" w:rsidRDefault="000C2AC4" w:rsidP="000C2AC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территориальной </w:t>
      </w:r>
    </w:p>
    <w:p w:rsidR="000C2AC4" w:rsidRPr="000C2AC4" w:rsidRDefault="000C2AC4" w:rsidP="000C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C2AC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Величко</w:t>
      </w:r>
    </w:p>
    <w:p w:rsidR="000C2AC4" w:rsidRDefault="000C2AC4" w:rsidP="000C2AC4">
      <w:pPr>
        <w:pStyle w:val="ConsPlusNormal"/>
        <w:shd w:val="clear" w:color="auto" w:fill="FFFFFF"/>
        <w:tabs>
          <w:tab w:val="left" w:pos="993"/>
        </w:tabs>
        <w:ind w:left="3544"/>
      </w:pPr>
      <w:r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C03029">
        <w:rPr>
          <w:rFonts w:eastAsia="Times New Roman"/>
          <w:sz w:val="20"/>
          <w:szCs w:val="20"/>
          <w:lang w:eastAsia="ru-RU"/>
        </w:rPr>
        <w:t>(</w:t>
      </w:r>
      <w:r>
        <w:rPr>
          <w:rFonts w:eastAsia="Times New Roman"/>
          <w:i/>
          <w:sz w:val="20"/>
          <w:szCs w:val="20"/>
          <w:lang w:eastAsia="ru-RU"/>
        </w:rPr>
        <w:t>подпись)</w:t>
      </w:r>
      <w:r>
        <w:rPr>
          <w:rFonts w:eastAsia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gramStart"/>
      <w:r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C03029">
        <w:rPr>
          <w:rFonts w:eastAsia="Times New Roman"/>
          <w:i/>
          <w:sz w:val="20"/>
          <w:szCs w:val="20"/>
          <w:lang w:eastAsia="ru-RU"/>
        </w:rPr>
        <w:t xml:space="preserve">  (</w:t>
      </w:r>
      <w:proofErr w:type="gramEnd"/>
      <w:r w:rsidRPr="00C03029">
        <w:rPr>
          <w:rFonts w:eastAsia="Times New Roman"/>
          <w:i/>
          <w:sz w:val="20"/>
          <w:szCs w:val="20"/>
          <w:lang w:eastAsia="ru-RU"/>
        </w:rPr>
        <w:t>инициалы, фамилия</w:t>
      </w:r>
      <w:r>
        <w:rPr>
          <w:rFonts w:eastAsia="Times New Roman"/>
          <w:i/>
          <w:sz w:val="20"/>
          <w:szCs w:val="20"/>
          <w:lang w:eastAsia="ru-RU"/>
        </w:rPr>
        <w:t xml:space="preserve">)       </w:t>
      </w:r>
      <w:r>
        <w:t xml:space="preserve">  </w:t>
      </w:r>
    </w:p>
    <w:p w:rsidR="00D85899" w:rsidRDefault="00D85899"/>
    <w:sectPr w:rsidR="00D85899" w:rsidSect="005A6F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A79"/>
    <w:multiLevelType w:val="hybridMultilevel"/>
    <w:tmpl w:val="F86877EC"/>
    <w:lvl w:ilvl="0" w:tplc="0C0A5CA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D3"/>
    <w:rsid w:val="000C2AC4"/>
    <w:rsid w:val="005A6FD7"/>
    <w:rsid w:val="00B265D3"/>
    <w:rsid w:val="00D85899"/>
    <w:rsid w:val="00E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C6A0"/>
  <w15:chartTrackingRefBased/>
  <w15:docId w15:val="{62AB4788-6CE2-43FB-8A0E-D45F62E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C2AC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2023-06-29T14:43:00Z</cp:lastPrinted>
  <dcterms:created xsi:type="dcterms:W3CDTF">2022-06-28T11:51:00Z</dcterms:created>
  <dcterms:modified xsi:type="dcterms:W3CDTF">2023-06-29T14:43:00Z</dcterms:modified>
</cp:coreProperties>
</file>