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6E1F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6E1F35">
              <w:rPr>
                <w:b/>
                <w:bCs/>
                <w:sz w:val="32"/>
                <w:szCs w:val="32"/>
                <w:lang w:eastAsia="en-US"/>
              </w:rPr>
              <w:t>ТОРЖОКСКОГО 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E405FC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E405FC" w:rsidP="00E742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17/5</w:t>
            </w:r>
            <w:r w:rsidR="00E742A4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Default="008D65E6" w:rsidP="008D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Торжок</w:t>
            </w:r>
          </w:p>
          <w:p w:rsidR="009831B4" w:rsidRPr="00ED3A57" w:rsidRDefault="009831B4" w:rsidP="008D65E6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 w:rsidR="009831B4">
        <w:rPr>
          <w:b/>
          <w:sz w:val="28"/>
          <w:szCs w:val="28"/>
        </w:rPr>
        <w:t xml:space="preserve"> по областному избирательному </w:t>
      </w:r>
      <w:r>
        <w:rPr>
          <w:b/>
          <w:sz w:val="28"/>
          <w:szCs w:val="28"/>
        </w:rPr>
        <w:t xml:space="preserve">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proofErr w:type="spellStart"/>
      <w:r w:rsidR="008D65E6">
        <w:rPr>
          <w:b/>
          <w:sz w:val="28"/>
          <w:szCs w:val="28"/>
        </w:rPr>
        <w:t>Торжокского</w:t>
      </w:r>
      <w:proofErr w:type="spellEnd"/>
      <w:r w:rsidR="008D65E6">
        <w:rPr>
          <w:b/>
          <w:sz w:val="28"/>
          <w:szCs w:val="28"/>
        </w:rPr>
        <w:t xml:space="preserve"> района</w:t>
      </w:r>
      <w:r w:rsidR="000730A5">
        <w:rPr>
          <w:rFonts w:eastAsia="Calibri"/>
          <w:b/>
          <w:sz w:val="28"/>
          <w:szCs w:val="28"/>
          <w:lang w:eastAsia="en-US"/>
        </w:rPr>
        <w:t xml:space="preserve"> 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9831B4" w:rsidRDefault="000730A5" w:rsidP="009831B4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9831B4">
        <w:rPr>
          <w:sz w:val="28"/>
          <w:szCs w:val="28"/>
        </w:rPr>
        <w:t>Проанализировав результаты использования избирательных бюллетеней по областному избирательному округу на</w:t>
      </w:r>
      <w:r w:rsidR="004446AD" w:rsidRPr="009831B4">
        <w:rPr>
          <w:sz w:val="28"/>
          <w:szCs w:val="28"/>
        </w:rPr>
        <w:t xml:space="preserve"> территории </w:t>
      </w:r>
      <w:proofErr w:type="spellStart"/>
      <w:r w:rsidR="006964C6" w:rsidRPr="009831B4">
        <w:rPr>
          <w:sz w:val="28"/>
          <w:szCs w:val="28"/>
        </w:rPr>
        <w:t>Торжокско</w:t>
      </w:r>
      <w:proofErr w:type="spellEnd"/>
      <w:r w:rsidR="006964C6" w:rsidRPr="009831B4">
        <w:rPr>
          <w:sz w:val="28"/>
          <w:szCs w:val="28"/>
        </w:rPr>
        <w:t xml:space="preserve"> района</w:t>
      </w:r>
      <w:r w:rsidRPr="009831B4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территориальная избирательная ком</w:t>
      </w:r>
      <w:r w:rsidR="004446AD" w:rsidRPr="009831B4">
        <w:rPr>
          <w:sz w:val="28"/>
          <w:szCs w:val="28"/>
        </w:rPr>
        <w:t xml:space="preserve">иссия </w:t>
      </w:r>
      <w:proofErr w:type="spellStart"/>
      <w:r w:rsidR="006964C6" w:rsidRPr="009831B4">
        <w:rPr>
          <w:sz w:val="28"/>
          <w:szCs w:val="28"/>
        </w:rPr>
        <w:t>Торжокского</w:t>
      </w:r>
      <w:proofErr w:type="spellEnd"/>
      <w:r w:rsidR="006964C6" w:rsidRPr="009831B4">
        <w:rPr>
          <w:sz w:val="28"/>
          <w:szCs w:val="28"/>
        </w:rPr>
        <w:t xml:space="preserve"> района</w:t>
      </w:r>
      <w:r w:rsidRPr="009831B4">
        <w:rPr>
          <w:sz w:val="28"/>
          <w:szCs w:val="28"/>
        </w:rPr>
        <w:t xml:space="preserve"> установила </w:t>
      </w:r>
      <w:proofErr w:type="spellStart"/>
      <w:r w:rsidRPr="009831B4">
        <w:rPr>
          <w:sz w:val="28"/>
          <w:szCs w:val="28"/>
        </w:rPr>
        <w:t>следующее.Расхождений</w:t>
      </w:r>
      <w:proofErr w:type="spellEnd"/>
      <w:r w:rsidRPr="009831B4">
        <w:rPr>
          <w:sz w:val="28"/>
          <w:szCs w:val="28"/>
        </w:rPr>
        <w:t xml:space="preserve">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9831B4" w:rsidRPr="009831B4" w:rsidRDefault="000730A5" w:rsidP="009831B4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9831B4">
        <w:rPr>
          <w:sz w:val="28"/>
          <w:szCs w:val="28"/>
        </w:rPr>
        <w:t xml:space="preserve">На основании вышеизложенного, статьи 22 Избирательного </w:t>
      </w:r>
      <w:proofErr w:type="gramStart"/>
      <w:r w:rsidRPr="009831B4">
        <w:rPr>
          <w:sz w:val="28"/>
          <w:szCs w:val="28"/>
        </w:rPr>
        <w:t>кодекса  Тверской</w:t>
      </w:r>
      <w:proofErr w:type="gramEnd"/>
      <w:r w:rsidRPr="009831B4">
        <w:rPr>
          <w:sz w:val="28"/>
          <w:szCs w:val="28"/>
        </w:rPr>
        <w:t xml:space="preserve"> области от 07.04.2003 № 20-ЗО территориальная избирательная комиссия </w:t>
      </w:r>
      <w:proofErr w:type="spellStart"/>
      <w:r w:rsidR="006964C6" w:rsidRPr="009831B4">
        <w:rPr>
          <w:sz w:val="28"/>
          <w:szCs w:val="28"/>
        </w:rPr>
        <w:t>Торжокского</w:t>
      </w:r>
      <w:proofErr w:type="spellEnd"/>
      <w:r w:rsidR="006964C6" w:rsidRPr="009831B4">
        <w:rPr>
          <w:sz w:val="28"/>
          <w:szCs w:val="28"/>
        </w:rPr>
        <w:t xml:space="preserve"> района</w:t>
      </w:r>
      <w:r w:rsidRPr="009831B4">
        <w:rPr>
          <w:rFonts w:eastAsia="Calibri"/>
          <w:sz w:val="28"/>
          <w:szCs w:val="28"/>
          <w:lang w:eastAsia="en-US"/>
        </w:rPr>
        <w:t xml:space="preserve"> </w:t>
      </w:r>
      <w:r w:rsidRPr="009831B4">
        <w:rPr>
          <w:sz w:val="28"/>
          <w:szCs w:val="28"/>
        </w:rPr>
        <w:t xml:space="preserve"> </w:t>
      </w:r>
      <w:r w:rsidRPr="009831B4">
        <w:rPr>
          <w:b/>
          <w:spacing w:val="30"/>
          <w:sz w:val="28"/>
          <w:szCs w:val="28"/>
        </w:rPr>
        <w:t>постановляет</w:t>
      </w:r>
      <w:r w:rsidRPr="009831B4">
        <w:rPr>
          <w:sz w:val="28"/>
          <w:szCs w:val="28"/>
        </w:rPr>
        <w:t>:</w:t>
      </w:r>
    </w:p>
    <w:p w:rsidR="000730A5" w:rsidRPr="009831B4" w:rsidRDefault="000730A5" w:rsidP="009831B4">
      <w:pPr>
        <w:pStyle w:val="a8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831B4">
        <w:rPr>
          <w:sz w:val="28"/>
          <w:szCs w:val="28"/>
        </w:rPr>
        <w:t xml:space="preserve">Утвердить отчет о результатах использования избирательных бюллетеней по областному избирательному округу на территории </w:t>
      </w:r>
      <w:proofErr w:type="spellStart"/>
      <w:r w:rsidR="006964C6" w:rsidRPr="009831B4">
        <w:rPr>
          <w:sz w:val="28"/>
          <w:szCs w:val="28"/>
        </w:rPr>
        <w:t>Торжокского</w:t>
      </w:r>
      <w:proofErr w:type="spellEnd"/>
      <w:r w:rsidR="006964C6" w:rsidRPr="009831B4">
        <w:rPr>
          <w:sz w:val="28"/>
          <w:szCs w:val="28"/>
        </w:rPr>
        <w:t xml:space="preserve"> района</w:t>
      </w:r>
      <w:r w:rsidRPr="009831B4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(прилагается).</w:t>
      </w:r>
    </w:p>
    <w:p w:rsidR="000730A5" w:rsidRPr="009831B4" w:rsidRDefault="000730A5" w:rsidP="009831B4">
      <w:pPr>
        <w:pStyle w:val="a8"/>
        <w:numPr>
          <w:ilvl w:val="0"/>
          <w:numId w:val="2"/>
        </w:numPr>
        <w:tabs>
          <w:tab w:val="clear" w:pos="720"/>
          <w:tab w:val="left" w:pos="0"/>
        </w:tabs>
        <w:spacing w:after="360" w:line="360" w:lineRule="auto"/>
        <w:ind w:left="0" w:firstLine="0"/>
        <w:jc w:val="both"/>
        <w:rPr>
          <w:sz w:val="28"/>
          <w:szCs w:val="28"/>
        </w:rPr>
      </w:pPr>
      <w:r w:rsidRPr="009831B4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9831B4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31B4">
              <w:rPr>
                <w:sz w:val="28"/>
                <w:szCs w:val="28"/>
              </w:rPr>
              <w:t xml:space="preserve">Председатель </w:t>
            </w:r>
            <w:r w:rsidRPr="009831B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6964C6" w:rsidRPr="009831B4">
              <w:rPr>
                <w:sz w:val="28"/>
                <w:szCs w:val="28"/>
              </w:rPr>
              <w:t>Торжокского</w:t>
            </w:r>
            <w:proofErr w:type="spellEnd"/>
            <w:r w:rsidR="006964C6" w:rsidRPr="009831B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9831B4" w:rsidRDefault="006964C6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9831B4">
              <w:rPr>
                <w:sz w:val="28"/>
                <w:szCs w:val="28"/>
              </w:rPr>
              <w:t>О.Н. Колосова</w:t>
            </w:r>
          </w:p>
        </w:tc>
      </w:tr>
      <w:tr w:rsidR="00DC07B4" w:rsidRPr="009831B4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9831B4" w:rsidRDefault="00DC07B4" w:rsidP="004E5E7A">
            <w:pPr>
              <w:rPr>
                <w:bCs/>
                <w:sz w:val="28"/>
                <w:szCs w:val="28"/>
              </w:rPr>
            </w:pPr>
            <w:r w:rsidRPr="009831B4">
              <w:rPr>
                <w:bCs/>
                <w:sz w:val="28"/>
                <w:szCs w:val="28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9831B4" w:rsidRDefault="00DC07B4" w:rsidP="004E5E7A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9831B4" w:rsidRDefault="00DC07B4" w:rsidP="004E5E7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9831B4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9831B4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</w:pPr>
          </w:p>
        </w:tc>
      </w:tr>
      <w:tr w:rsidR="00DC07B4" w:rsidRPr="009831B4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31B4">
              <w:rPr>
                <w:sz w:val="28"/>
                <w:szCs w:val="28"/>
              </w:rPr>
              <w:t xml:space="preserve">Секретарь </w:t>
            </w:r>
            <w:r w:rsidRPr="009831B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6964C6" w:rsidRPr="009831B4">
              <w:rPr>
                <w:sz w:val="28"/>
                <w:szCs w:val="28"/>
              </w:rPr>
              <w:t>Торжокского</w:t>
            </w:r>
            <w:proofErr w:type="spellEnd"/>
            <w:r w:rsidR="006964C6" w:rsidRPr="009831B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9831B4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9831B4" w:rsidRDefault="006964C6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9831B4">
              <w:rPr>
                <w:sz w:val="28"/>
                <w:szCs w:val="28"/>
              </w:rPr>
              <w:t>Н.Б. Величко</w:t>
            </w:r>
          </w:p>
        </w:tc>
      </w:tr>
      <w:bookmarkEnd w:id="0"/>
    </w:tbl>
    <w:p w:rsidR="000730A5" w:rsidRPr="009831B4" w:rsidRDefault="000730A5">
      <w:pPr>
        <w:rPr>
          <w:sz w:val="28"/>
          <w:szCs w:val="28"/>
        </w:rPr>
        <w:sectPr w:rsidR="000730A5" w:rsidRPr="009831B4" w:rsidSect="009831B4">
          <w:headerReference w:type="default" r:id="rId7"/>
          <w:pgSz w:w="11906" w:h="16838"/>
          <w:pgMar w:top="426" w:right="851" w:bottom="284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6964C6" w:rsidP="0013702A">
      <w:pPr>
        <w:spacing w:after="120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Торжокская</w:t>
      </w:r>
      <w:proofErr w:type="spellEnd"/>
      <w:r>
        <w:rPr>
          <w:b/>
          <w:bCs/>
          <w:sz w:val="28"/>
          <w:szCs w:val="28"/>
        </w:rPr>
        <w:t xml:space="preserve"> </w:t>
      </w:r>
      <w:r w:rsidR="000730A5" w:rsidRPr="00EC029A">
        <w:rPr>
          <w:b/>
          <w:bCs/>
          <w:sz w:val="28"/>
          <w:szCs w:val="28"/>
        </w:rPr>
        <w:t xml:space="preserve"> территориальная</w:t>
      </w:r>
      <w:proofErr w:type="gramEnd"/>
      <w:r w:rsidR="000730A5" w:rsidRPr="00EC029A">
        <w:rPr>
          <w:b/>
          <w:bCs/>
          <w:sz w:val="28"/>
          <w:szCs w:val="28"/>
        </w:rPr>
        <w:t xml:space="preserve">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A3" w:rsidRDefault="002A22A3" w:rsidP="00DC07B4">
      <w:r>
        <w:separator/>
      </w:r>
    </w:p>
  </w:endnote>
  <w:endnote w:type="continuationSeparator" w:id="0">
    <w:p w:rsidR="002A22A3" w:rsidRDefault="002A22A3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B0" w:rsidRPr="0013702A" w:rsidRDefault="002A22A3" w:rsidP="00137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A3" w:rsidRDefault="002A22A3" w:rsidP="00DC07B4">
      <w:r>
        <w:separator/>
      </w:r>
    </w:p>
  </w:footnote>
  <w:footnote w:type="continuationSeparator" w:id="0">
    <w:p w:rsidR="002A22A3" w:rsidRDefault="002A22A3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862705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0730A5"/>
    <w:rsid w:val="000904A1"/>
    <w:rsid w:val="0013702A"/>
    <w:rsid w:val="00183FE2"/>
    <w:rsid w:val="002565E8"/>
    <w:rsid w:val="00263AF9"/>
    <w:rsid w:val="002708E8"/>
    <w:rsid w:val="002A22A3"/>
    <w:rsid w:val="004446AD"/>
    <w:rsid w:val="004E6FF1"/>
    <w:rsid w:val="00536D37"/>
    <w:rsid w:val="005F785A"/>
    <w:rsid w:val="006964C6"/>
    <w:rsid w:val="006E1F35"/>
    <w:rsid w:val="0072479C"/>
    <w:rsid w:val="00827EF4"/>
    <w:rsid w:val="00841AE2"/>
    <w:rsid w:val="008D65E6"/>
    <w:rsid w:val="009831B4"/>
    <w:rsid w:val="00A17C2E"/>
    <w:rsid w:val="00C11FED"/>
    <w:rsid w:val="00DC07B4"/>
    <w:rsid w:val="00E405FC"/>
    <w:rsid w:val="00E742A4"/>
    <w:rsid w:val="00EB6CDF"/>
    <w:rsid w:val="00E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2C8E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17</cp:revision>
  <cp:lastPrinted>2021-09-20T05:12:00Z</cp:lastPrinted>
  <dcterms:created xsi:type="dcterms:W3CDTF">2021-09-14T08:47:00Z</dcterms:created>
  <dcterms:modified xsi:type="dcterms:W3CDTF">2021-09-20T05:46:00Z</dcterms:modified>
</cp:coreProperties>
</file>