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88342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</w:t>
            </w:r>
            <w:r w:rsidR="00883420">
              <w:rPr>
                <w:rFonts w:ascii="Times New Roman" w:hAnsi="Times New Roman"/>
                <w:bCs/>
                <w:sz w:val="28"/>
              </w:rPr>
              <w:t>2</w:t>
            </w:r>
            <w:r>
              <w:rPr>
                <w:rFonts w:ascii="Times New Roman" w:hAnsi="Times New Roman"/>
                <w:bCs/>
                <w:sz w:val="28"/>
              </w:rPr>
              <w:t>1</w:t>
            </w:r>
            <w:bookmarkStart w:id="0" w:name="_GoBack"/>
            <w:bookmarkEnd w:id="0"/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883420">
        <w:rPr>
          <w:b/>
          <w:bCs/>
          <w:szCs w:val="20"/>
        </w:rPr>
        <w:t>Базановой Елены Алексеевны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883420">
        <w:rPr>
          <w:szCs w:val="20"/>
        </w:rPr>
        <w:t>Базанова Е</w:t>
      </w:r>
      <w:r w:rsidR="00883420" w:rsidRPr="00883420">
        <w:rPr>
          <w:szCs w:val="20"/>
        </w:rPr>
        <w:t>.</w:t>
      </w:r>
      <w:r w:rsidR="00883420">
        <w:rPr>
          <w:szCs w:val="20"/>
        </w:rPr>
        <w:t>А.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883420">
        <w:rPr>
          <w:sz w:val="28"/>
          <w:szCs w:val="20"/>
        </w:rPr>
        <w:t>Базановой Елены Алексеевны</w:t>
      </w:r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3A" w:rsidRDefault="00F7153A" w:rsidP="009D7A3B">
      <w:r>
        <w:separator/>
      </w:r>
    </w:p>
  </w:endnote>
  <w:endnote w:type="continuationSeparator" w:id="0">
    <w:p w:rsidR="00F7153A" w:rsidRDefault="00F7153A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3A" w:rsidRDefault="00F7153A" w:rsidP="009D7A3B">
      <w:r>
        <w:separator/>
      </w:r>
    </w:p>
  </w:footnote>
  <w:footnote w:type="continuationSeparator" w:id="0">
    <w:p w:rsidR="00F7153A" w:rsidRDefault="00F7153A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1F22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57B04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6F7CE9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83420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94288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7153A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A30E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BFA6-BBA8-46B9-9F3C-3A84C38F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36</cp:revision>
  <cp:lastPrinted>2026-02-05T09:48:00Z</cp:lastPrinted>
  <dcterms:created xsi:type="dcterms:W3CDTF">2021-07-20T07:41:00Z</dcterms:created>
  <dcterms:modified xsi:type="dcterms:W3CDTF">2026-02-05T09:50:00Z</dcterms:modified>
</cp:coreProperties>
</file>